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B0" w:rsidRPr="001611B0" w:rsidRDefault="001611B0" w:rsidP="001611B0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1611B0" w:rsidRPr="001611B0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Հավելված N 12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ՀՀ կառավարության 2019 թվականի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օգոստոսի</w:t>
            </w:r>
            <w:r w:rsidRPr="001611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8-ի N 1025-Ն որոշման</w:t>
            </w:r>
          </w:p>
        </w:tc>
      </w:tr>
    </w:tbl>
    <w:p w:rsidR="001611B0" w:rsidRPr="001611B0" w:rsidRDefault="001611B0" w:rsidP="001611B0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1B0" w:rsidRPr="001611B0" w:rsidRDefault="001611B0" w:rsidP="001611B0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ՔԱՂԱՔԱՇԻՆՈՒԹՅԱՆ, ՏԵԽՆԻԿԱԿԱՆ ԵՎ ՀՐԴԵՀԱՅԻՆ ԱՆՎՏԱՆԳՈՒԹՅԱՆ ՏԵՍՉԱԿԱՆ ՄԱՐՄԻՆ</w:t>
      </w:r>
    </w:p>
    <w:p w:rsidR="001611B0" w:rsidRPr="001611B0" w:rsidRDefault="001611B0" w:rsidP="001611B0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1B0" w:rsidRPr="001611B0" w:rsidRDefault="001611B0" w:rsidP="001611B0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ՍՏՈՒԳԱԹԵՐԹ</w:t>
      </w:r>
    </w:p>
    <w:p w:rsidR="001611B0" w:rsidRPr="001611B0" w:rsidRDefault="001611B0" w:rsidP="001611B0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200 Մ2</w:t>
      </w:r>
      <w:proofErr w:type="gramEnd"/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ԵՎ ԱՎԵԼԻ ՄԱԿԵՐԵՍՈՎ ԱՐՏԱԴՐԱԿԱՆ ԿԱԶՄԱԿԵՐՊՈՒԹՅՈՒՆՆԵՐԻ ՀԱՄԱՐ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______ ________ 20</w:t>
      </w:r>
      <w:proofErr w:type="gramStart"/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թ</w:t>
      </w:r>
      <w:proofErr w:type="gramEnd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6"/>
      </w:tblGrid>
      <w:tr w:rsidR="001611B0" w:rsidRPr="001611B0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2"/>
              <w:gridCol w:w="2958"/>
              <w:gridCol w:w="2965"/>
            </w:tblGrid>
            <w:tr w:rsidR="001611B0" w:rsidRPr="001611B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</w:t>
                  </w:r>
                </w:p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</w:t>
                  </w:r>
                </w:p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(հեռախոսահամարը)</w:t>
                  </w:r>
                </w:p>
              </w:tc>
            </w:tr>
          </w:tbl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6"/>
              <w:gridCol w:w="5922"/>
            </w:tblGrid>
            <w:tr w:rsidR="001611B0" w:rsidRPr="001611B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1611B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1611B0" w:rsidRPr="001611B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1611B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1611B0" w:rsidRPr="001611B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1611B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1611B0" w:rsidRPr="001611B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  <w:tr w:rsidR="001611B0" w:rsidRPr="001611B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ավարտ` ________________________</w:t>
                  </w:r>
                </w:p>
              </w:tc>
            </w:tr>
            <w:tr w:rsidR="001611B0" w:rsidRPr="001611B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  <w:tr w:rsidR="001611B0" w:rsidRPr="001611B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_________________________________________________________________________________________</w:t>
                  </w: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  <w:t>Տնտեսավարող սուբյեկտի անվանումը</w:t>
                  </w:r>
                </w:p>
              </w:tc>
            </w:tr>
            <w:tr w:rsidR="001611B0" w:rsidRPr="001611B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  <w:tr w:rsidR="001611B0" w:rsidRPr="001611B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1611B0" w:rsidRPr="001611B0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611B0" w:rsidRPr="001611B0" w:rsidRDefault="001611B0" w:rsidP="001611B0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1611B0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611B0" w:rsidRPr="001611B0" w:rsidRDefault="001611B0" w:rsidP="001611B0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1611B0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611B0" w:rsidRPr="001611B0" w:rsidRDefault="001611B0" w:rsidP="001611B0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1611B0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611B0" w:rsidRPr="001611B0" w:rsidRDefault="001611B0" w:rsidP="001611B0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1611B0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611B0" w:rsidRPr="001611B0" w:rsidRDefault="001611B0" w:rsidP="001611B0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1611B0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611B0" w:rsidRPr="001611B0" w:rsidRDefault="001611B0" w:rsidP="001611B0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1611B0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611B0" w:rsidRPr="001611B0" w:rsidRDefault="001611B0" w:rsidP="001611B0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1611B0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611B0" w:rsidRPr="001611B0" w:rsidRDefault="001611B0" w:rsidP="001611B0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1611B0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</w:t>
                  </w: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1611B0" w:rsidRPr="001611B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հեռախոս</w:t>
                  </w:r>
                </w:p>
              </w:tc>
            </w:tr>
            <w:tr w:rsidR="001611B0" w:rsidRPr="001611B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  <w:tr w:rsidR="001611B0" w:rsidRPr="001611B0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1611B0" w:rsidRPr="001611B0" w:rsidRDefault="001611B0" w:rsidP="001611B0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1611B0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հեռախոս</w:t>
                  </w:r>
                </w:p>
              </w:tc>
            </w:tr>
          </w:tbl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Ստուգման hանձնարարագիր ___________ ում կողմից _______________________________________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_____________________________երբ է տրված _____________________________________________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Ստուգման նպատակը/Ընդգրկված հարցերի համարներ ______________________________________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 Ա Ր Ց Ա Շ Ա Ր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200 Մ2</w:t>
      </w:r>
      <w:proofErr w:type="gramEnd"/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ԵՎ ԱՎԵԼԻ ՄԱԿԵՐԵՍՈՎ ԱՐՏԱԴՐԱԿԱՆ ԿԱԶՄԱԿԵՐՊՈՒԹՅՈՒՆՆԵՐԻ ՀԱՄԱՐ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148"/>
        <w:gridCol w:w="397"/>
        <w:gridCol w:w="277"/>
        <w:gridCol w:w="470"/>
        <w:gridCol w:w="1573"/>
        <w:gridCol w:w="1295"/>
        <w:gridCol w:w="1207"/>
        <w:gridCol w:w="899"/>
      </w:tblGrid>
      <w:tr w:rsidR="001611B0" w:rsidRPr="001611B0" w:rsidTr="00AE1063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Մեկնա-բանու-թյուն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հիմնատարրերը մշակված (տոգորված) են հրապաշտպան լուծույթով կամ 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Նկուղային և ցոկոլային հարկերում լուսամուտային խորշերը խուլ փակված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 հատուկ նշանակության սենքերի մնացած լուսամուտները ազատ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31, ենթակետ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Արտաքին հրշեջ սանդուղքները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Բնակելի, հասարակական և արտադրական նշանակության շենքերից և շինություններից մինչև արտադրական կազմակերպությունները նվազագույն հակահրդեհային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«3», կետ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I*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Ավտոմոբիլային մուտքի դարպասների լայնությունը պակաս չէ 4,5 մետրից: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«2», կետ 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Հրշեջ ավտոմեքենաների անցման համար 5 հա և ավելի չափերի տարածքներով կազմակերպությունները ապահովված են ոչ պակաս քան երկու մուտքով: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«2», կետ 5.36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Արտադրական կազմակերպություններ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Արտադրական շինությունների վրայով այրվող, վառունակ հեղուկների, դյուրավառ փոշիների, այրվող գազերի փոխադրման խողովակաշարերի տարանցումը բացառվում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III, գլուխ 16, կետ 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Պայթյունահրդեհավտանգ տեղամասերում, շինություններում, արտադրամասերում աշխատանքները կատարվում են կայծ չառաջացնող (գունավոր մետաղներ) կամ պայթյունաանվտանգության պահանջներին համապատասխանող գործիքներով: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III, գլուխ 16, կետ 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II*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Աշխատատեղերին այրվող, դյուրավառ հեղուկների մատակարարումը կատարվում է կենտրոնացված ձևով: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III, գլուխ 16, կետ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Աշխատատեղերին ոչ մեծ քանակության այրվող, դյուրավառ հեղուկների մատակարարումը կատարվում է անվտանգ (չկոտրվող, չպատռվող) տարայով: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III, գլուխ 16, կետ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Պատերի, առաստաղների տեխնոլոգիական անցքերը պաշտպանված են հրապատնեշող սարքերով: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III, գլուխ 16, կետ 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Թմբուկավոր չորանոցները, չոր տաշեղների և փոշու բունկերները, ունեն հրդեհաշիջման ինքնաշխատ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III, գլուխ 16, կետ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Թմբուկավոր չորանոցները, չոր տաշեղների և փոշու բունկերները, ունեն պայթյունը կանխարգելող սարքավորումներ: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III, գլուխ 16, կետ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Գազային, օդագոլորշային խցիկների օդանցքները սարքավորված են հատուկ սահափականներով (ձգափականներով</w:t>
            </w:r>
            <w:proofErr w:type="gramStart"/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III, գլուխ 16, կետ 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Տարահանման ճանապարհներ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  <w:r w:rsidRPr="001611B0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41,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ելքերի դռները բացվում են դեպի դուրս: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Շենքից տարահանման ելքերի քանակը պակաս չէ երկուսից,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III*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Սանդղավանդակների բնական լուսավորությունը ապահովված է արտաքին պատին սարքավորված 1,2մ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մակերեսով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պատուհանների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միջոցով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Առանց մշտական աշխատատեղերի, ինժեներական սարքավորանքի սպասարկման համար նախատեսված «Ա», «Բ» 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կարգի սենքերի ամենահեռավոր կետից մինչև մոտակա ելքը հեռավորությունը չի գերազանցում 25մ: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«6», կետ 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Էլեկտրասարքավորումներին ներկայացվող հրդեհային անվտանգության պահանջներ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Հրդեհավտանգ հիմնատարրերով տանիքների, վրայով օդային էլեկտրահաղորդման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</w:t>
            </w:r>
            <w:r w:rsidRPr="001611B0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Էլեկտրասարքավորումները մոնտաժվել և շահագործվում են էլեկտրական սարքավորումների տեղակայման 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</w:t>
            </w:r>
            <w:r w:rsidRPr="001611B0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ճանապարհներին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մոնտաժված են վթարային լուսավորության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լուսատուներ և ելք ցույց տվող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հավելված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1, գլուխ 2,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10,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«9», գլուխ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6, կետեր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208, 212, 231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Վառարանային ջեռուցման սարքավորումների շահագործման ժամանակ ծխահեռացումը չի իրականացվում 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Կաթսայատներում հեղուկ վառելանյութ պահեստավորված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I, կետ 61,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Ծխնելույզների մաքրումն իրականացվում է սահմանված ժամկետներում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գլուխ 5,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Ծխահեռացման խողովակները բարձրացված են տանիքից վեր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«10», գլուխ 5,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Հակահրդեհային ջրամատակարարման ցանցեր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Արտաքին հրդեհաշիջման համար օբյեկտների տարածքում կամ դրանց մոտակայքում (200 մ շառավղով) նախատեսված է առնվազն 1 հրշեջ հիդրանտ կամ նվազագույնը 54 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տարողությամբ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lastRenderedPageBreak/>
              <w:t>հակահրդեհային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ջրավազան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«8», գլուխ 5, կետեր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29, 45,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գլուխ 11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602 և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գլուխ 12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Ներքին հակահրդեհային ջրամատակարարման ցանցի վրա տեղակայված հրշեջ ծորակները համալրված են փողակով և փողրակով: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6,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 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ավելի ծավալով արտադրական շենքերն ու շինություններն սարքավորված են հրշեջ ծորակներով կահավորված ներքին հակահրդեհային ջրացանցով այնպես, որ յուրաքանչյուր կետ ցողվի 2X2,5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«7», կետ 61, աղյուսակ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«7», կետ 101,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Հրդեհի ազդանշանման և հրդեհաշիջման համակարգեր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Կախված մակերեսի չափերից արտադրական շենքերն ու շինությունները սարքավորված են հրդեհաշիջման ինքնաշխատ համակարգերով: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IV*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Կախված մակերեսի չափերից արտադրական շենքերն ու շինությունները սարքավորված են հրդեհի ազդանշանման ինքնաշխատ համակարգերով: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IV*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կետեր 81,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Հրդեհաշիջման սկզբնական միջոցներ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VIII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V*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Տեխնիկական անվտանգության ապահովում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Առկա է արտադրական վտանգավոր օբյեկտը 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«4», հոդված 19, 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մաս 1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«4»,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3"/>
        <w:gridCol w:w="3717"/>
      </w:tblGrid>
      <w:tr w:rsidR="001611B0" w:rsidRPr="001611B0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611B0" w:rsidRPr="001611B0" w:rsidRDefault="001611B0" w:rsidP="001611B0">
            <w:pPr>
              <w:spacing w:after="0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1 - փաստաթղթային ստուգում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2 - ակնադիտարկում</w:t>
            </w:r>
          </w:p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3 - լաբորատոր ստուգում</w:t>
            </w:r>
          </w:p>
        </w:tc>
      </w:tr>
    </w:tbl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8747"/>
        <w:gridCol w:w="228"/>
        <w:gridCol w:w="228"/>
        <w:gridCol w:w="228"/>
      </w:tblGrid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</w:tbl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Տվյալ ստուգաթերթը կազմվել է հետևյալ նորմատիվ փաստաթղթերի հիման վրա.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«2» - ՀՀՇՆ III-9.02-02-03 «Արդյունաբերական կազմակերպությունների գլխավոր հատակագծեր»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«3» - ՀՀՇՆ 30-01-2023 «Քաղաքաշինություն. Քաղաքային և գյուղական բնակավայրերի հատակագծում և կառուցապատում»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«4» - «Տեխնիկական անվտանգության ապահովման պետական կարգավորման մասին» ՀՀ օրենք ընդունված է 2005 թվականի հոկտեմբերի 24-ին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«5» - ՀՀՇՆ 21-01-2014 «Շենքերի և շինությունների հրդեհային անվտանգություն»: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«6» - ՀՀՇՆ IV-11.03.01-04 «Արտադրական շենքեր»: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«7» - ՀՀՇՆ 40-01.01-2014 «Շենքերի ներքին ջրամատակարարում և ջրահեռացում»: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«8» - ՀՀՇՆ 40.01.02-2020 «Ջրամատակարարում. Արտաքին ցանցեր և կառուցվածքներ»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«9» - ՀՀՇՆ 22-03-2017 «Արհեստական և բնական լուսավորում»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«10» - ՀՀ կառավարության 2023 թ. ապրիլի 13-ի «Գազաբաշխման համակարգի անվտանգության և շահագործման կանոնները հաստատելու մասին» N 539-Ն որոշում»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I*- Բնակելի, հասարակական և արտադրական նշանակության շենքերից և շինություններից մինչև տարբեր նպատակային նշանակության պահեստները (բաց հարթակները) կախված շինության հրակայունության աստիճանից նորմերով պահանջվող հակահրդեհային միջտարածությունները.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1929"/>
        <w:gridCol w:w="1620"/>
        <w:gridCol w:w="2496"/>
      </w:tblGrid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հրակայունության աստիճանը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Կախված շինության հրակայունության աստիճանից հեռավորությունը, մ,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IV, V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IV,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Շենքերի օրինակելի կոնստրուկտիվ բնութագրերը.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6841"/>
      </w:tblGrid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Շենքերի կոնստրուկցիաների հրակայունության աստիճանը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Կոնստրուկտիվ բնութագրերը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կամ պատող կոնստրուկցիաները բնական կամ արհեստական քարային, բետոնե կամ երկաթբետոնե շինանյութերից են՝ թերթավոր և սալիկային չայրվող նյութերի օգտագործմամբ: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Շենքեր, որոնց կրող կամ պատող կոնստրուկցիաները բնական կամ արհեստական քարային, բետոնե կամ երկաթբետոնե շինանյութերից են, օգտագործվում են թերթավոր և սալիկային չայրվող շինանյութեր: Շենքերի 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ծածկերում կարելի է օգտագործել չպաշտպանված պողպատե կոնստրուկցիաներ: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կամ պատող կոնստրուկցիաները բնական կամ արհեստական քարային, բետոնե կամ երկաթբետոնե շինանյութերից են: Միջհարկային ծածկերի համար կարելի է օգտագործել փայտե կոնստրուկցիաներ, պաշտպանված ծեփասվաղով կամ դժվար այրվող թիթեղային, ինչպես նաև սալիկային նյութերով: Ծածկի տարրերին հրակայունության և կրակի տարածման սահմանների վերաբերյալ պահանջներ չեն ներկայացնում, ընդ որում ձեղնահարկի ծածկի փայտե կոնստրուկցիաները ենթարկվում են կրակապաշտպան մշակման: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որոնք հիմնականում ունեն կարկասային կոնստրուկտիվ սխեմա: Կարկասի տարրերը՝ պողպատե և այլ մետաղական անպաշտպան, ամբողջական կամ սոսնձային փայտանյութով և ուրիշ այրվող կամ դժվար այրվող նյութերով, որոնք կրակի և բարձր ջերմաստիճանի ազդեցությունից պաշտպանված են ծեփասվաղով կամ այլ չայրվող նյութերով: Պատող կոնստրուկցիաները՝ պողպատե պրոֆիլավորված թերթով կամ այլ չայրվող թերթավոր և դժվար այրվող ջերմամեկուսիչ նյութերից են: Ընդ որում, ձեղնահարկի փայտե կոնստրուկցիաները ենթարկվում են կրակապաշտպան մշակման: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և պատող կոնստրուկցիաների հրակայունության և կրակի տարածման սահմանների նկատմամբ պահանջներ չեն ներկայացվում:</w:t>
            </w:r>
          </w:p>
        </w:tc>
      </w:tr>
    </w:tbl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II*-</w:t>
      </w:r>
      <w:r w:rsidRPr="001611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Շինու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թյունների պայթյունահրդեհավտանգավորության կարգը.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279"/>
        <w:gridCol w:w="7040"/>
      </w:tblGrid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N/N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կարգը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Շենքերում և սենքերում գտնվող նյութերի բնութագիր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«Ա» պայթյու-նահրդեհավտանգ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28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C-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ից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ոչ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բռնկման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ջերմաստիճան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ունեցող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այրվող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գազեր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դյուրավառ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հեղուկներ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այն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քանակությամբ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որ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կարող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են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ստեղծել պայթյունավտանգ օդագազագոլորշային խառնուրդներ, որոնց բռնկման ժամանակ շինությունում 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առաջանում է 5 կիլոպասկալը գերազանցող պայթյունի հաշվարկային ավելցուկային ճնշում: Ջրի, օդի, թթվածնի և միմյանց հետ փոխազդելիս պայթելու և այրվելու ընդունակ նյութեր այն քանակությամբ, երբ առաջանում է 5 կիլոպասկալը գերազանցող պայթյունի հաշվարկային ավելցուկային ճնշում: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«Բ» պայթյու-նահրդեհավտանգ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28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C-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ից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ոչ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բռնկման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ջերմաստիճան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ունեցող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այրվող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փոշիներ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մանրաթելեր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այրվող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հեղուկներ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այն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քանակությամբ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որ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կարող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են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ստեղծե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 պայթյունավտանգ փոշեօդային կամ օդագոլորշային խառնուրդներ, որոնց բռնկման ժամանակ շինությունում, առաջանում է 5 կիլոպասկալը գերազանցող պայթյունի հաշվարկային ավելցուկային ճնշում: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«Վ» 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Դյուրավառ, այրվող և դժվար այրվող հեղուկներ, կոշտ այրվող և դժվար այրվող նյութեր: Նյութեր, որոնք ընդունակ են միայն այրվել ջրի, օդի թթվածնի կամ միմյանց հետ փոխազդելիս, պայմանով, որ այն շինությունները, որտեղ դրանք առկա են չեն պատկանում «Ա» կամ «Բ» կարգերին: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«Գ»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Տաք, շիկացած կամ հալված վիճակում գտնվող չայրվող նյութեր, որոնց մշակումը ուղեկցվում է ճառագայթային ջերմություն, կայծի և բոցի անջատմամբ: Այրվող գազեր, հեղուկներ և կոշտ նյութեր, որոնք օգտագործվում են, որպես վառելանյութ: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«Դ»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Սառը վիճակում գտնվող չայրվող նյութեր:</w:t>
            </w:r>
          </w:p>
        </w:tc>
      </w:tr>
    </w:tbl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III*- Ոչ պակաս քան տարահանման երկու ելք պետք է ունենան.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ա) </w:t>
      </w:r>
      <w:proofErr w:type="gramStart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տաս</w:t>
      </w:r>
      <w:proofErr w:type="gramEnd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 ննջարանային մասնաշենքերի սենքերը,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բ) </w:t>
      </w:r>
      <w:proofErr w:type="gramStart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տասնհինգ</w:t>
      </w:r>
      <w:proofErr w:type="gramEnd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1611B0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 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ավելի մակերեսով սենքերը,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1611B0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 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ավելի հարկաբաժնի հատակի մակերեսի դեպքում և 400 մ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1611B0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 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ավելի - այլ կարգի սենքերի համար,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ե) </w:t>
      </w:r>
      <w:proofErr w:type="gramStart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երկու</w:t>
      </w:r>
      <w:proofErr w:type="gramEnd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IV*- Հրդեհաշիջման և հրդեհի ազդանշանման ինքնաշխատ համակարգերով օբյեկտների համալրման չափանիշներ ներկայացված են«1»-ի հավելված 4-ում.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1356"/>
        <w:gridCol w:w="2215"/>
      </w:tblGrid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Պահանջվող հակահրդեհային համակարգեր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ՀՏԱԻՀ և ՀՏԱՓԻՀ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Նորմատիվ ցուցանիշներ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 Այրելի պոլիմերային ջերմամեկուսիչներով և մետաղական թեթև կառուցատարրերով միահարկ շենքեր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 Հացահատիկի պահպանման և վերամշակման համար շենքեր և շինություններ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 և հարկայնությունից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2.1. Հացաթխման, հացաբուլկեղենի արտադրամասեր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 Արդյունաբերական և հասարակական շենքերի մալուխային շինություններ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 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 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և պակաս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 Արդյունաբերական և հասարակական շենքերի համակցված թունելներ, որոնցում տեղակայվում են 220Վ և բարձր լարման մալուխներ և հաղորդալարեր, հետևյալ քանակով.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4.1. 100մ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ծավալով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 հատ և 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5-ից մինչև 12 հատ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4.2. 100մ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 ծավալով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հատ և ավելի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5. Մալուխային թունելներ և ամբողջությամբ փակ ստորասրահներ (այդ թվում համակցված), անցկացված արդյունաբերական շենքերի միջև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 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 Քաղաքային մալուխային հավաքիչներ և թունելներ (այդ թվում համակցված)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 և ծավալից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7. Մալուխային կառույցներ, որտեղ անցկացված են մետաղական խողովակներով յուղալեցուն մալուխներ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 Հրդեհապայթյունավտանգավորության «Ա» և «Բ» կարգերի, որտեղ օգտագործվում են դյուրաբոցավառ և այրելի հեղուկներ, այրելի հեղուկացված գազեր, այրելի փոշիներ և թելքեր (բացառությամբ ավտոլցավորման կայանների (այդ թվում նաև բեռնարկղային տիպի), ինչպես նաև դրանց կազմում գտնվող խանութների, կրպակների ու տաղավարների և սենքերի, որոնք տեղակայված են հացահատիկի պահպանման և վերամշակման համար շենքերում և շինություններում)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9. Ալկալիական մետաղների առկայությամբ, դրանք հարկերում տեղակայման դեպքում.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9.1.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9.2.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DESIGNTIMESP=41158n=3&gt;</w:t>
            </w:r>
          </w:p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10. Հրդեհային վտանգավորության Վ1 կատեգորիայի (բացառությամբ սենքերի, որոնք տեղակայված են հացահատիկի պահպանման և վերամշակման շենքերում և շինություններում), դրանք հարկերում տեղակայման դեպքում.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10.2. Վերգետնյա հարկերում (բացառությամբ 35-42 կետերում թվարկվածների)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11. Հրդեհային վտանգավորության Վ2-Վ3 կատեգորիայի (բացառությամբ սույն հավելվածի 10-18 կետերում թվարկվածների և սենքերի, որոնք տեղակայված են հացահատիկի պահպանման և վերամշակման շենքերում և շինություններում), դրանք հարկերում տեղակայման դեպքում.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11.1.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ա) Անմիջապես դեպի դուրս ելքեր չունեցող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բ) Անմիջապես դեպի դուրս ելքերի առկայության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700մ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700մ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11.2.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1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1611B0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12. Յուղանկուղներ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13. Պատրաստման սենքեր. </w:t>
            </w:r>
            <w:proofErr w:type="gramStart"/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ալյումինի</w:t>
            </w:r>
            <w:proofErr w:type="gramEnd"/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փոշուց կախույթների, ռետինե սոսինձների, դյուրաբոցավառ և այրելի հիմքերով. </w:t>
            </w:r>
            <w:proofErr w:type="gramStart"/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լաքերի</w:t>
            </w:r>
            <w:proofErr w:type="gramEnd"/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 ներկերի, սոսինձների, մածիկների, տոգորման բաղադրությունով. ներկման, սինթետիկ կաուչուկի պոլիմերացման, գազոտուրբինային շարժիչներով ճնշակասրահների, նավթի կրակային ջեռուցիչների սենքեր: Հեղուկ վառելանյութով աշխատող շարժիչներին շարժաբերով միացված գեներատորների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14. Բարձրավոլտ փորձարկումների սրահների սենքեր, այրելի նյութերով էկրանավորված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15. Այլ վարչական և հասարակական նշանակության սենքեր, այդ թվում կցակառուցված և ներկառուցված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</w:tbl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V*- Շենքերը և շինությունները ձեռքի կրակմարիչներով ապահովելու չափանիշները ներկայացված են ստորև ներկայացված աղյուսակներում.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852"/>
        <w:gridCol w:w="1680"/>
        <w:gridCol w:w="870"/>
        <w:gridCol w:w="1715"/>
        <w:gridCol w:w="482"/>
        <w:gridCol w:w="680"/>
        <w:gridCol w:w="626"/>
        <w:gridCol w:w="1715"/>
        <w:gridCol w:w="711"/>
        <w:gridCol w:w="1072"/>
      </w:tblGrid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Պաշտպանվող սահմանային մակերեսը, 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Փրփրային և ջրային կրակմարիչներ 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Ֆրեոնային կրակմարիչներ 2(3)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Ածխաթթվային կրակմարիչներ, տարողությամբ լ.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5(8)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</w:tbl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Սույն աղյուսակում ամրագրված` տարբեր դասերի հրդեհների օջախների հրդեհաշիջման համար փոշային կրակմարիչները պետք է ունենան համապատասխան լիցքավորում, «A» դասի համար </w:t>
      </w:r>
      <w:proofErr w:type="gramStart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ABC(</w:t>
      </w:r>
      <w:proofErr w:type="gramEnd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E) փոշի, «D» դասի համար` (D):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ա) «++» նշանով նշված են օբյեկտների ապահովման համար առաջարկվող կրակմարիչները.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գ) «-» նշանով նշված են կրակմարիչներ, որոնցով չի թույլատրվում ապահովել օբյեկտները: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Շենքերը և շինություններն, ըստ մակերեսի,</w:t>
      </w:r>
      <w:r w:rsidRPr="001611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օդափրփրային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, 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համակցված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,</w:t>
      </w:r>
      <w:r w:rsidRPr="001611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փոշե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, 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և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ածխաթթվային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կրակմարիչներով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ապահովվում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են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համաձայն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հետևյալ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աղյուսակի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510"/>
        <w:gridCol w:w="1680"/>
        <w:gridCol w:w="870"/>
        <w:gridCol w:w="1736"/>
        <w:gridCol w:w="1715"/>
        <w:gridCol w:w="1715"/>
        <w:gridCol w:w="848"/>
        <w:gridCol w:w="935"/>
      </w:tblGrid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Պաշտպանվող սահմանային 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մակերեսը, մ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Օդափրփրային կրակմարիչներ 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(փրփուր)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Համակցված կրակմարիչներ 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Փոշե կրակմարիչներ 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100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Ածխաթթվային կրակմարիչներ, </w:t>
            </w: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տարողությամբ լ.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611B0" w:rsidRPr="001611B0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1B0" w:rsidRPr="001611B0" w:rsidRDefault="001611B0" w:rsidP="001611B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611B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լիցքավորում`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«A» դասի համար` </w:t>
      </w:r>
      <w:proofErr w:type="gramStart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ABC(</w:t>
      </w:r>
      <w:proofErr w:type="gramEnd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E) փոշի.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«B», «C» և «E» դասի համար` </w:t>
      </w:r>
      <w:proofErr w:type="gramStart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BC(</w:t>
      </w:r>
      <w:proofErr w:type="gramEnd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E) կամ ABC(E) փոշի.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3) «D» դասի համար` D փոշի: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ա) «++» նշանով նշված են օբյեկտների ապահովման համար առաջարկվող կրակմարիչները.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գ) «-» նշանով նշված են կրակմարիչներ, որոնցով չի թույլատրվում ապահովել օբյեկտները: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 Ղ Ե Ց ՈՒ Յ Ց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200 Մ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vertAlign w:val="superscript"/>
        </w:rPr>
        <w:t>2</w:t>
      </w:r>
      <w:proofErr w:type="gramEnd"/>
      <w:r w:rsidRPr="001611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ԵՎ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ԱՎԵԼԻ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ՄԱԿԵՐԵՍՈՎ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ԱՐՏԱԴՐԱԿԱՆ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ԿԱԶՄԱԿԵՐՊՈՒԹՅՈՒՆՆԵՐԻ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ՍՏՈՒԳԱԹԵՐԹԻ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Սույն ստուգաթերթում օգտագործվում են հետևյալ հիմնական հասկացությունները`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1) </w:t>
      </w:r>
      <w:proofErr w:type="gramStart"/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այրվող</w:t>
      </w:r>
      <w:proofErr w:type="gramEnd"/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նյութ`</w:t>
      </w:r>
      <w:r w:rsidRPr="001611B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ինքնուրույն, կրակի աղբյուրի հեռացումից հետո այրվող նյութ.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2) </w:t>
      </w:r>
      <w:proofErr w:type="gramStart"/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դյուրավառ</w:t>
      </w:r>
      <w:proofErr w:type="gramEnd"/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հեղուկ`</w:t>
      </w:r>
      <w:r w:rsidRPr="001611B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բաց անոթում 61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0</w:t>
      </w: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C-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ից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ցածր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բռնկման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ջերմաստիճան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ունեցող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հեղուկ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3)</w:t>
      </w:r>
      <w:r w:rsidRPr="001611B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gramStart"/>
      <w:r w:rsidRPr="001611B0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դյուրավառ</w:t>
      </w:r>
      <w:proofErr w:type="gramEnd"/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փոշի</w:t>
      </w:r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`</w:t>
      </w:r>
      <w:r w:rsidRPr="001611B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հեշտ այրվող, նպաստավոր պայմաններում պայթյունի հատկություն ունեցող փոշի.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4)</w:t>
      </w:r>
      <w:r w:rsidRPr="001611B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gramStart"/>
      <w:r w:rsidRPr="001611B0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հակահրդեհային</w:t>
      </w:r>
      <w:proofErr w:type="gramEnd"/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միջտարածություն</w:t>
      </w:r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`</w:t>
      </w:r>
      <w:r w:rsidRPr="001611B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շինությունից դեպի հարևան շինություններ կրակի տարածումը կանխարգելելու նպատակով նախատեսված տարածություն.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5)</w:t>
      </w: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gramStart"/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պայթյունահրդեհավտանգ</w:t>
      </w:r>
      <w:proofErr w:type="gramEnd"/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`</w:t>
      </w:r>
      <w:r w:rsidRPr="001611B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ջրի, օդի, թթվածնի կամ միմյանց հետ շփվելիս պայթելու և այրվելու ունակ նյութեր.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6) </w:t>
      </w:r>
      <w:proofErr w:type="gramStart"/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դյուրանետվող</w:t>
      </w:r>
      <w:proofErr w:type="gramEnd"/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կոնստրուկցիաներ՝</w:t>
      </w: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ապակեպատ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պատուհաններ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երդիկներ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կամ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պողպատե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ալյումինե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ասբոցեմենտի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թերթերով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արդյունավետ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ջերմապահպանիչներով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ծածկեր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proofErr w:type="gramStart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հրդեհաշիջման</w:t>
      </w:r>
      <w:proofErr w:type="gramEnd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հրդեհի ազդանշանման ինքնաշխատ կայանքներ (ՀՀԱ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Կ)` նախատեսված են հրդեհաշիջման և հրդեհի վայրի հայտնաբերման համար.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)</w:t>
      </w:r>
      <w:r w:rsidRPr="001611B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gramStart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հրդեհի</w:t>
      </w:r>
      <w:proofErr w:type="gramEnd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տագնապի ազդարարման ինքնաշխատ համակարգ (ՀՏԱ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Հ)` նախատեսված է հրդեհի տագնապի ազդարարման համար.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9) </w:t>
      </w:r>
      <w:proofErr w:type="gramStart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հրդեհի</w:t>
      </w:r>
      <w:proofErr w:type="gramEnd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տագնապի ազդանշանի փոխանցման ինքնաշխատ համակարգ (ՀՏԱՓ</w:t>
      </w:r>
      <w:r w:rsidRPr="001611B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Հ)` նախատեսված է հրդեհի տագնապի ազդանշանը օբյեկտից կապի որևէ հնարավոր միջոցով լիազոր մարմնին հաղորդման համար.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10) </w:t>
      </w:r>
      <w:proofErr w:type="gramStart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gramEnd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մարմին` Հայաստանի Հանրապետության ներքին գործերի նախարարություն: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11) </w:t>
      </w:r>
      <w:proofErr w:type="gramStart"/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հրդեհաշիջման</w:t>
      </w:r>
      <w:proofErr w:type="gramEnd"/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սկզբնական միջոցներ՝</w:t>
      </w: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կրակմարիչներ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արկղ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ավազով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դույլ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բահ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կեռաձող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կացին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12)</w:t>
      </w:r>
      <w:r w:rsidRPr="001611B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gramStart"/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հատուկ</w:t>
      </w:r>
      <w:proofErr w:type="gramEnd"/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նշանակության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սենքեր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դրամարկղային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արխիվային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1611B0">
        <w:rPr>
          <w:rFonts w:ascii="GHEA Grapalat" w:eastAsia="Times New Roman" w:hAnsi="GHEA Grapalat" w:cs="GHEA Grapalat"/>
          <w:color w:val="000000"/>
          <w:sz w:val="24"/>
          <w:szCs w:val="24"/>
        </w:rPr>
        <w:t>պահե</w:t>
      </w:r>
      <w:r w:rsidRPr="001611B0">
        <w:rPr>
          <w:rFonts w:ascii="GHEA Grapalat" w:eastAsia="Times New Roman" w:hAnsi="GHEA Grapalat" w:cs="Times New Roman"/>
          <w:color w:val="000000"/>
          <w:sz w:val="24"/>
          <w:szCs w:val="24"/>
        </w:rPr>
        <w:t>ստային սենքեր:</w:t>
      </w:r>
    </w:p>
    <w:p w:rsidR="001611B0" w:rsidRPr="001611B0" w:rsidRDefault="001611B0" w:rsidP="001611B0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611B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1611B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hավելվածը</w:t>
      </w:r>
      <w:proofErr w:type="gramEnd"/>
      <w:r w:rsidRPr="001611B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լրաց. 12.09.19 N 1244-Ն, փոփ. 03.08.23 N 1304-Ն,</w:t>
      </w:r>
      <w:r w:rsidRPr="001611B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1611B0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</w:rPr>
        <w:t>փոփ</w:t>
      </w:r>
      <w:r w:rsidRPr="001611B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., </w:t>
      </w:r>
      <w:r w:rsidRPr="001611B0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</w:rPr>
        <w:t>լրաց</w:t>
      </w:r>
      <w:r w:rsidRPr="001611B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., </w:t>
      </w:r>
      <w:r w:rsidRPr="001611B0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</w:rPr>
        <w:t>խմբ</w:t>
      </w:r>
      <w:r w:rsidRPr="001611B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. 18.01.24</w:t>
      </w:r>
      <w:r w:rsidRPr="001611B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1611B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N 88-</w:t>
      </w:r>
      <w:r w:rsidRPr="001611B0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</w:rPr>
        <w:t>Ն</w:t>
      </w:r>
      <w:r w:rsidRPr="001611B0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)</w:t>
      </w:r>
    </w:p>
    <w:bookmarkEnd w:id="0"/>
    <w:p w:rsidR="00674E33" w:rsidRPr="001611B0" w:rsidRDefault="00674E33" w:rsidP="001611B0">
      <w:pPr>
        <w:jc w:val="both"/>
        <w:rPr>
          <w:rFonts w:ascii="GHEA Grapalat" w:hAnsi="GHEA Grapalat"/>
          <w:sz w:val="24"/>
          <w:szCs w:val="24"/>
        </w:rPr>
      </w:pPr>
    </w:p>
    <w:sectPr w:rsidR="00674E33" w:rsidRPr="00161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00"/>
    <w:rsid w:val="001611B0"/>
    <w:rsid w:val="00202200"/>
    <w:rsid w:val="00674E33"/>
    <w:rsid w:val="00C7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7FD36-AEE2-49E4-A89C-26CAE276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22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202200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0220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202200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202200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202200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202200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202200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202200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22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202200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02200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202200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202200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202200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202200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202200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202200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20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02200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20220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202200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202200"/>
  </w:style>
  <w:style w:type="paragraph" w:styleId="BalloonText">
    <w:name w:val="Balloon Text"/>
    <w:basedOn w:val="Normal"/>
    <w:link w:val="BalloonTextChar"/>
    <w:uiPriority w:val="99"/>
    <w:semiHidden/>
    <w:unhideWhenUsed/>
    <w:rsid w:val="0020220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00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20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022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2022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02200"/>
  </w:style>
  <w:style w:type="paragraph" w:styleId="Header">
    <w:name w:val="header"/>
    <w:basedOn w:val="Normal"/>
    <w:link w:val="HeaderChar"/>
    <w:unhideWhenUsed/>
    <w:rsid w:val="0020220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02200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02200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02200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202200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20220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02200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0220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202200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202200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202200"/>
    <w:rPr>
      <w:color w:val="808080"/>
    </w:rPr>
  </w:style>
  <w:style w:type="paragraph" w:styleId="NoSpacing">
    <w:name w:val="No Spacing"/>
    <w:link w:val="NoSpacingChar"/>
    <w:qFormat/>
    <w:rsid w:val="0020220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202200"/>
    <w:rPr>
      <w:rFonts w:cs="Times New Roman"/>
      <w:color w:val="0000FF"/>
      <w:u w:val="single"/>
    </w:rPr>
  </w:style>
  <w:style w:type="character" w:styleId="FollowedHyperlink">
    <w:name w:val="FollowedHyperlink"/>
    <w:rsid w:val="00202200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202200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202200"/>
  </w:style>
  <w:style w:type="paragraph" w:styleId="BodyTextIndent">
    <w:name w:val="Body Text Indent"/>
    <w:basedOn w:val="Normal"/>
    <w:link w:val="BodyTextIndentChar"/>
    <w:rsid w:val="00202200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02200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202200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202200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20220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0220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20220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0220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20220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20220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20220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20220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202200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202200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20220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20220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202200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202200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20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20220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202200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202200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202200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20220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202200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202200"/>
  </w:style>
  <w:style w:type="character" w:customStyle="1" w:styleId="CharChar3">
    <w:name w:val="Char Char3"/>
    <w:rsid w:val="00202200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20220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202200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20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20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202200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2022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20220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2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220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022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16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2024-03-01T07:51:00Z</dcterms:created>
  <dcterms:modified xsi:type="dcterms:W3CDTF">2024-03-01T07:51:00Z</dcterms:modified>
</cp:coreProperties>
</file>